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BB" w:rsidRPr="00742F28" w:rsidRDefault="006E4FBB" w:rsidP="006E4FBB">
      <w:pPr>
        <w:pStyle w:val="ANOTACION"/>
      </w:pPr>
      <w:r w:rsidRPr="00742F28">
        <w:t xml:space="preserve">Anexo 4 de </w:t>
      </w:r>
      <w:smartTag w:uri="urn:schemas-microsoft-com:office:smarttags" w:element="PersonName">
        <w:smartTagPr>
          <w:attr w:name="ProductID" w:val="la Resoluci￳n Miscel￡nea"/>
        </w:smartTagPr>
        <w:r w:rsidRPr="00742F28">
          <w:t>la Resolución Miscelánea</w:t>
        </w:r>
      </w:smartTag>
      <w:r w:rsidRPr="00742F28">
        <w:t xml:space="preserve"> Fiscal para 2011</w:t>
      </w:r>
    </w:p>
    <w:tbl>
      <w:tblPr>
        <w:tblW w:w="87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2930"/>
        <w:gridCol w:w="5782"/>
      </w:tblGrid>
      <w:tr w:rsidR="006E4FBB" w:rsidRPr="00742F28" w:rsidTr="00986567">
        <w:tc>
          <w:tcPr>
            <w:tcW w:w="9923" w:type="dxa"/>
            <w:gridSpan w:val="2"/>
            <w:noWrap/>
          </w:tcPr>
          <w:p w:rsidR="006E4FBB" w:rsidRPr="00742F28" w:rsidRDefault="006E4FBB" w:rsidP="00986567">
            <w:pPr>
              <w:pStyle w:val="Texto"/>
              <w:ind w:firstLine="0"/>
              <w:jc w:val="center"/>
              <w:rPr>
                <w:b/>
              </w:rPr>
            </w:pPr>
            <w:r w:rsidRPr="00742F28">
              <w:rPr>
                <w:b/>
              </w:rPr>
              <w:t>Contenido</w:t>
            </w:r>
          </w:p>
          <w:p w:rsidR="006E4FBB" w:rsidRPr="00742F28" w:rsidRDefault="006E4FBB" w:rsidP="00986567">
            <w:pPr>
              <w:pStyle w:val="Texto"/>
              <w:tabs>
                <w:tab w:val="left" w:pos="398"/>
              </w:tabs>
              <w:ind w:left="398" w:hanging="398"/>
              <w:rPr>
                <w:b/>
              </w:rPr>
            </w:pPr>
            <w:r w:rsidRPr="00742F28">
              <w:rPr>
                <w:b/>
              </w:rPr>
              <w:t xml:space="preserve">A. </w:t>
            </w:r>
            <w:r w:rsidRPr="00742F28">
              <w:rPr>
                <w:b/>
              </w:rPr>
              <w:tab/>
              <w:t>Instituciones de crédito que están autorizadas a recibir declaraciones en formato oficial.</w:t>
            </w:r>
          </w:p>
          <w:p w:rsidR="006E4FBB" w:rsidRPr="00742F28" w:rsidRDefault="006E4FBB" w:rsidP="00986567">
            <w:pPr>
              <w:pStyle w:val="Texto"/>
              <w:tabs>
                <w:tab w:val="left" w:pos="398"/>
              </w:tabs>
              <w:ind w:left="398" w:hanging="398"/>
              <w:rPr>
                <w:b/>
              </w:rPr>
            </w:pPr>
            <w:r w:rsidRPr="00742F28">
              <w:rPr>
                <w:b/>
              </w:rPr>
              <w:t xml:space="preserve">B. </w:t>
            </w:r>
            <w:r w:rsidRPr="00742F28">
              <w:rPr>
                <w:b/>
              </w:rPr>
              <w:tab/>
              <w:t>Instituciones de crédito autorizadas para la recepción de declaraciones provisionales y anuales por Internet y ventanilla bancaria.</w:t>
            </w:r>
          </w:p>
          <w:p w:rsidR="006E4FBB" w:rsidRPr="00742F28" w:rsidRDefault="006E4FBB" w:rsidP="00986567">
            <w:pPr>
              <w:pStyle w:val="Texto"/>
              <w:tabs>
                <w:tab w:val="left" w:pos="398"/>
              </w:tabs>
              <w:ind w:left="398" w:hanging="398"/>
              <w:rPr>
                <w:b/>
              </w:rPr>
            </w:pPr>
            <w:r w:rsidRPr="00742F28">
              <w:rPr>
                <w:b/>
              </w:rPr>
              <w:t>C.</w:t>
            </w:r>
            <w:r w:rsidRPr="00742F28">
              <w:rPr>
                <w:b/>
              </w:rPr>
              <w:tab/>
              <w:t>Instituciones de crédito autorizadas para la recepción de pagos de derechos, productos</w:t>
            </w:r>
            <w:r w:rsidRPr="00742F28">
              <w:rPr>
                <w:b/>
              </w:rPr>
              <w:br/>
              <w:t>y aprovechamientos por Internet y ventanilla bancaria.</w:t>
            </w:r>
          </w:p>
          <w:p w:rsidR="006E4FBB" w:rsidRPr="00742F28" w:rsidRDefault="006E4FBB" w:rsidP="00986567">
            <w:pPr>
              <w:pStyle w:val="ROMANOS"/>
              <w:tabs>
                <w:tab w:val="left" w:pos="398"/>
              </w:tabs>
              <w:ind w:left="398" w:hanging="398"/>
            </w:pPr>
            <w:r w:rsidRPr="00742F28">
              <w:rPr>
                <w:b/>
              </w:rPr>
              <w:t>D.</w:t>
            </w:r>
            <w:r w:rsidRPr="00742F28">
              <w:rPr>
                <w:b/>
              </w:rPr>
              <w:tab/>
              <w:t>Instituciones de crédito autorizadas para la recepción de pagos por depósito referenciado mediante línea de captura.</w:t>
            </w:r>
          </w:p>
        </w:tc>
      </w:tr>
      <w:tr w:rsidR="006E4FBB" w:rsidRPr="00742F28" w:rsidTr="00986567"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6E4FBB" w:rsidRPr="00742F28" w:rsidRDefault="006E4FBB" w:rsidP="00986567">
            <w:pPr>
              <w:pStyle w:val="Texto"/>
              <w:tabs>
                <w:tab w:val="left" w:pos="398"/>
              </w:tabs>
              <w:ind w:firstLine="0"/>
            </w:pPr>
          </w:p>
          <w:p w:rsidR="006E4FBB" w:rsidRPr="00742F28" w:rsidRDefault="006E4FBB" w:rsidP="006E4FBB">
            <w:pPr>
              <w:pStyle w:val="Texto"/>
              <w:numPr>
                <w:ilvl w:val="0"/>
                <w:numId w:val="1"/>
              </w:numPr>
              <w:tabs>
                <w:tab w:val="left" w:pos="398"/>
              </w:tabs>
              <w:ind w:left="398" w:hanging="398"/>
              <w:rPr>
                <w:b/>
              </w:rPr>
            </w:pPr>
            <w:r w:rsidRPr="00742F28">
              <w:rPr>
                <w:b/>
              </w:rPr>
              <w:t>Instituciones de crédito que están autorizadas a recibir declaraciones en formato oficial</w:t>
            </w:r>
          </w:p>
          <w:p w:rsidR="006E4FBB" w:rsidRPr="00742F28" w:rsidRDefault="006E4FBB" w:rsidP="00986567">
            <w:pPr>
              <w:pStyle w:val="Texto"/>
              <w:tabs>
                <w:tab w:val="left" w:pos="398"/>
              </w:tabs>
              <w:ind w:left="2" w:firstLine="0"/>
            </w:pPr>
          </w:p>
        </w:tc>
      </w:tr>
      <w:tr w:rsidR="006E4FBB" w:rsidRPr="00742F28" w:rsidTr="00986567">
        <w:trPr>
          <w:trHeight w:val="304"/>
        </w:trPr>
        <w:tc>
          <w:tcPr>
            <w:tcW w:w="3332" w:type="dxa"/>
            <w:shd w:val="clear" w:color="auto" w:fill="E0E0E0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center"/>
              <w:rPr>
                <w:b/>
              </w:rPr>
            </w:pPr>
            <w:r w:rsidRPr="00742F28">
              <w:rPr>
                <w:b/>
              </w:rPr>
              <w:t>Institución Bancaria</w:t>
            </w:r>
          </w:p>
        </w:tc>
        <w:tc>
          <w:tcPr>
            <w:tcW w:w="6591" w:type="dxa"/>
            <w:shd w:val="clear" w:color="auto" w:fill="E0E0E0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center"/>
              <w:rPr>
                <w:b/>
              </w:rPr>
            </w:pPr>
            <w:r w:rsidRPr="00742F28">
              <w:rPr>
                <w:b/>
              </w:rPr>
              <w:t>Cobertura</w:t>
            </w:r>
          </w:p>
        </w:tc>
      </w:tr>
      <w:tr w:rsidR="006E4FBB" w:rsidRPr="00742F28" w:rsidTr="00986567">
        <w:trPr>
          <w:trHeight w:val="265"/>
        </w:trPr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>BBVA Bancomer,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</w:pPr>
            <w:r w:rsidRPr="00742F28">
              <w:t>Todo el país.</w:t>
            </w:r>
          </w:p>
        </w:tc>
      </w:tr>
      <w:tr w:rsidR="006E4FBB" w:rsidRPr="00742F28" w:rsidTr="00986567">
        <w:tc>
          <w:tcPr>
            <w:tcW w:w="3332" w:type="dxa"/>
            <w:shd w:val="clear" w:color="auto" w:fill="FFFFFF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>Banco Nacional del Ejército, Fuerza Aérea y Armada, S.N.C. (</w:t>
            </w:r>
            <w:proofErr w:type="spellStart"/>
            <w:r w:rsidRPr="00742F28">
              <w:rPr>
                <w:b/>
              </w:rPr>
              <w:t>Banjército</w:t>
            </w:r>
            <w:proofErr w:type="spellEnd"/>
            <w:r w:rsidRPr="00742F28">
              <w:rPr>
                <w:b/>
              </w:rPr>
              <w:t>, S.N.C.)</w:t>
            </w:r>
          </w:p>
        </w:tc>
        <w:tc>
          <w:tcPr>
            <w:tcW w:w="6591" w:type="dxa"/>
            <w:shd w:val="clear" w:color="auto" w:fill="FFFFFF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</w:pPr>
            <w:r w:rsidRPr="00742F28">
              <w:t>Todo el país.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>Banco Nacional de México, S.A. (Banamex, S.A.)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</w:pPr>
            <w:r w:rsidRPr="00742F28">
              <w:t>Todo el país.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>Banco Santander,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</w:pPr>
            <w:r w:rsidRPr="00742F28">
              <w:t>Todo el país.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proofErr w:type="spellStart"/>
            <w:r w:rsidRPr="00742F28">
              <w:rPr>
                <w:b/>
              </w:rPr>
              <w:t>Scotiabank</w:t>
            </w:r>
            <w:proofErr w:type="spellEnd"/>
            <w:r w:rsidRPr="00742F28">
              <w:rPr>
                <w:b/>
              </w:rPr>
              <w:t xml:space="preserve"> </w:t>
            </w:r>
            <w:proofErr w:type="spellStart"/>
            <w:r w:rsidRPr="00742F28">
              <w:rPr>
                <w:b/>
              </w:rPr>
              <w:t>Inverlat</w:t>
            </w:r>
            <w:proofErr w:type="spellEnd"/>
            <w:r w:rsidRPr="00742F28">
              <w:rPr>
                <w:b/>
              </w:rPr>
              <w:t>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</w:pPr>
            <w:r w:rsidRPr="00742F28">
              <w:t>Todo el país.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>HSBC México,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</w:pPr>
            <w:r w:rsidRPr="00742F28">
              <w:t>Todo el país.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>Banco Mercantil del Norte, S.A. (Banorte, S.A.)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</w:pPr>
            <w:r w:rsidRPr="00742F28">
              <w:t>Todo el país.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spacing w:line="228" w:lineRule="exact"/>
              <w:ind w:firstLine="0"/>
              <w:jc w:val="left"/>
              <w:rPr>
                <w:b/>
                <w:color w:val="000000"/>
              </w:rPr>
            </w:pPr>
            <w:r w:rsidRPr="00742F28">
              <w:rPr>
                <w:b/>
                <w:color w:val="000000"/>
              </w:rPr>
              <w:t>Banco del Bajío,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spacing w:line="228" w:lineRule="exact"/>
              <w:ind w:firstLine="0"/>
              <w:rPr>
                <w:color w:val="000000"/>
              </w:rPr>
            </w:pPr>
            <w:r w:rsidRPr="00742F28">
              <w:rPr>
                <w:color w:val="000000"/>
              </w:rPr>
              <w:t xml:space="preserve">Aguascalientes, </w:t>
            </w:r>
            <w:proofErr w:type="spellStart"/>
            <w:r w:rsidRPr="00742F28">
              <w:rPr>
                <w:color w:val="000000"/>
              </w:rPr>
              <w:t>Ags</w:t>
            </w:r>
            <w:proofErr w:type="spellEnd"/>
            <w:r w:rsidRPr="00742F28">
              <w:rPr>
                <w:color w:val="000000"/>
              </w:rPr>
              <w:t xml:space="preserve">., Tijuana, Mexicali y Ensenada, BCN, </w:t>
            </w:r>
            <w:smartTag w:uri="urn:schemas-microsoft-com:office:smarttags" w:element="PersonName">
              <w:smartTagPr>
                <w:attr w:name="ProductID" w:val="La Paz"/>
              </w:smartTagPr>
              <w:r w:rsidRPr="00742F28">
                <w:rPr>
                  <w:color w:val="000000"/>
                </w:rPr>
                <w:t>La Paz</w:t>
              </w:r>
            </w:smartTag>
            <w:r w:rsidRPr="00742F28">
              <w:rPr>
                <w:color w:val="000000"/>
              </w:rPr>
              <w:t xml:space="preserve">, BCS., Cd. Juárez, </w:t>
            </w:r>
            <w:proofErr w:type="spellStart"/>
            <w:r w:rsidRPr="00742F28">
              <w:rPr>
                <w:color w:val="000000"/>
              </w:rPr>
              <w:t>Chih</w:t>
            </w:r>
            <w:proofErr w:type="spellEnd"/>
            <w:r w:rsidRPr="00742F28">
              <w:rPr>
                <w:color w:val="000000"/>
              </w:rPr>
              <w:t xml:space="preserve">., Torreón, </w:t>
            </w:r>
            <w:proofErr w:type="spellStart"/>
            <w:r w:rsidRPr="00742F28">
              <w:rPr>
                <w:color w:val="000000"/>
              </w:rPr>
              <w:t>Coah</w:t>
            </w:r>
            <w:proofErr w:type="spellEnd"/>
            <w:r w:rsidRPr="00742F28">
              <w:rPr>
                <w:color w:val="000000"/>
              </w:rPr>
              <w:t xml:space="preserve">., Colima y </w:t>
            </w:r>
            <w:proofErr w:type="spellStart"/>
            <w:r w:rsidRPr="00742F28">
              <w:rPr>
                <w:color w:val="000000"/>
              </w:rPr>
              <w:t>Tecoman</w:t>
            </w:r>
            <w:proofErr w:type="spellEnd"/>
            <w:r w:rsidRPr="00742F28">
              <w:rPr>
                <w:color w:val="000000"/>
              </w:rPr>
              <w:t xml:space="preserve">, Col., Distrito Federal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Metropolitana, Gómez Palacio, </w:t>
            </w:r>
            <w:proofErr w:type="spellStart"/>
            <w:r w:rsidRPr="00742F28">
              <w:rPr>
                <w:color w:val="000000"/>
              </w:rPr>
              <w:t>Dgo</w:t>
            </w:r>
            <w:proofErr w:type="spellEnd"/>
            <w:r w:rsidRPr="00742F28">
              <w:rPr>
                <w:color w:val="000000"/>
              </w:rPr>
              <w:t xml:space="preserve">., </w:t>
            </w:r>
            <w:proofErr w:type="spellStart"/>
            <w:r w:rsidRPr="00742F28">
              <w:rPr>
                <w:color w:val="000000"/>
              </w:rPr>
              <w:t>Acambaro</w:t>
            </w:r>
            <w:proofErr w:type="spellEnd"/>
            <w:r w:rsidRPr="00742F28">
              <w:rPr>
                <w:color w:val="000000"/>
              </w:rPr>
              <w:t xml:space="preserve">, Celaya, Guanajuato, Irapuato, León, </w:t>
            </w:r>
            <w:proofErr w:type="spellStart"/>
            <w:r w:rsidRPr="00742F28">
              <w:rPr>
                <w:color w:val="000000"/>
              </w:rPr>
              <w:t>Moroleón</w:t>
            </w:r>
            <w:proofErr w:type="spellEnd"/>
            <w:r w:rsidRPr="00742F28">
              <w:rPr>
                <w:color w:val="000000"/>
              </w:rPr>
              <w:t xml:space="preserve">, Salamanca, San Francisco del Rincón y San Miguel de Allende, </w:t>
            </w:r>
            <w:proofErr w:type="spellStart"/>
            <w:r w:rsidRPr="00742F28">
              <w:rPr>
                <w:color w:val="000000"/>
              </w:rPr>
              <w:t>Silao</w:t>
            </w:r>
            <w:proofErr w:type="spellEnd"/>
            <w:r w:rsidRPr="00742F28">
              <w:rPr>
                <w:color w:val="000000"/>
              </w:rPr>
              <w:t xml:space="preserve">, </w:t>
            </w:r>
            <w:proofErr w:type="spellStart"/>
            <w:r w:rsidRPr="00742F28">
              <w:rPr>
                <w:color w:val="000000"/>
              </w:rPr>
              <w:t>Gto</w:t>
            </w:r>
            <w:proofErr w:type="spellEnd"/>
            <w:r w:rsidRPr="00742F28">
              <w:rPr>
                <w:color w:val="000000"/>
              </w:rPr>
              <w:t xml:space="preserve">., Pachuca, </w:t>
            </w:r>
            <w:proofErr w:type="spellStart"/>
            <w:r w:rsidRPr="00742F28">
              <w:rPr>
                <w:color w:val="000000"/>
              </w:rPr>
              <w:t>Hgo</w:t>
            </w:r>
            <w:proofErr w:type="spellEnd"/>
            <w:r w:rsidRPr="00742F28">
              <w:rPr>
                <w:color w:val="000000"/>
              </w:rPr>
              <w:t xml:space="preserve">., </w:t>
            </w:r>
            <w:proofErr w:type="spellStart"/>
            <w:r w:rsidRPr="00742F28">
              <w:rPr>
                <w:color w:val="000000"/>
              </w:rPr>
              <w:t>Arandas</w:t>
            </w:r>
            <w:proofErr w:type="spellEnd"/>
            <w:r w:rsidRPr="00742F28">
              <w:rPr>
                <w:color w:val="000000"/>
              </w:rPr>
              <w:t xml:space="preserve">, Guadalajara, Cd. Guzmán, Lagos de Moreno, Ocotlán, Puerto Vallarta, San Juan de los Lagos, </w:t>
            </w:r>
            <w:proofErr w:type="spellStart"/>
            <w:r w:rsidRPr="00742F28">
              <w:rPr>
                <w:color w:val="000000"/>
              </w:rPr>
              <w:t>Tepatitlán</w:t>
            </w:r>
            <w:proofErr w:type="spellEnd"/>
            <w:r w:rsidRPr="00742F28">
              <w:rPr>
                <w:color w:val="000000"/>
              </w:rPr>
              <w:t xml:space="preserve">, </w:t>
            </w:r>
            <w:proofErr w:type="spellStart"/>
            <w:r w:rsidRPr="00742F28">
              <w:rPr>
                <w:color w:val="000000"/>
              </w:rPr>
              <w:t>Tlajomulco</w:t>
            </w:r>
            <w:proofErr w:type="spellEnd"/>
            <w:r w:rsidRPr="00742F28">
              <w:rPr>
                <w:color w:val="000000"/>
              </w:rPr>
              <w:t xml:space="preserve"> de Zúñiga, Tlaquepaque, Tonalá y Zapopan, Jal., Zamora, </w:t>
            </w:r>
            <w:proofErr w:type="spellStart"/>
            <w:r w:rsidRPr="00742F28">
              <w:rPr>
                <w:color w:val="000000"/>
              </w:rPr>
              <w:t>Uruapan</w:t>
            </w:r>
            <w:proofErr w:type="spellEnd"/>
            <w:r w:rsidRPr="00742F28">
              <w:rPr>
                <w:color w:val="000000"/>
              </w:rPr>
              <w:t xml:space="preserve">, </w:t>
            </w:r>
            <w:smartTag w:uri="urn:schemas-microsoft-com:office:smarttags" w:element="PersonName">
              <w:smartTagPr>
                <w:attr w:name="ProductID" w:val="La Piedad"/>
              </w:smartTagPr>
              <w:r w:rsidRPr="00742F28">
                <w:rPr>
                  <w:color w:val="000000"/>
                </w:rPr>
                <w:t>La Piedad</w:t>
              </w:r>
            </w:smartTag>
            <w:r w:rsidRPr="00742F28">
              <w:rPr>
                <w:color w:val="000000"/>
              </w:rPr>
              <w:t xml:space="preserve">, Morelia y Los Reyes, </w:t>
            </w:r>
            <w:proofErr w:type="spellStart"/>
            <w:r w:rsidRPr="00742F28">
              <w:rPr>
                <w:color w:val="000000"/>
              </w:rPr>
              <w:t>Mich</w:t>
            </w:r>
            <w:proofErr w:type="spellEnd"/>
            <w:r w:rsidRPr="00742F28">
              <w:rPr>
                <w:color w:val="000000"/>
              </w:rPr>
              <w:t xml:space="preserve">., Cuernavaca, Mor., Tepic, </w:t>
            </w:r>
            <w:proofErr w:type="spellStart"/>
            <w:r w:rsidRPr="00742F28">
              <w:rPr>
                <w:color w:val="000000"/>
              </w:rPr>
              <w:t>Nay</w:t>
            </w:r>
            <w:proofErr w:type="spellEnd"/>
            <w:r w:rsidRPr="00742F28">
              <w:rPr>
                <w:color w:val="000000"/>
              </w:rPr>
              <w:t xml:space="preserve">., Monterrey, N.L.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Metropolitana., Puebla y San Andrés </w:t>
            </w:r>
            <w:proofErr w:type="spellStart"/>
            <w:r w:rsidRPr="00742F28">
              <w:rPr>
                <w:color w:val="000000"/>
              </w:rPr>
              <w:t>Cholula</w:t>
            </w:r>
            <w:proofErr w:type="spellEnd"/>
            <w:r w:rsidRPr="00742F28">
              <w:rPr>
                <w:color w:val="000000"/>
              </w:rPr>
              <w:t xml:space="preserve">, </w:t>
            </w:r>
            <w:proofErr w:type="spellStart"/>
            <w:r w:rsidRPr="00742F28">
              <w:rPr>
                <w:color w:val="000000"/>
              </w:rPr>
              <w:t>Pue</w:t>
            </w:r>
            <w:proofErr w:type="spellEnd"/>
            <w:r w:rsidRPr="00742F28">
              <w:rPr>
                <w:color w:val="000000"/>
              </w:rPr>
              <w:t xml:space="preserve">., Querétaro, Corregidora, San Juan del Río y Ezequiel Montes, </w:t>
            </w:r>
            <w:proofErr w:type="spellStart"/>
            <w:r w:rsidRPr="00742F28">
              <w:rPr>
                <w:color w:val="000000"/>
              </w:rPr>
              <w:t>Qro</w:t>
            </w:r>
            <w:proofErr w:type="spellEnd"/>
            <w:r w:rsidRPr="00742F28">
              <w:rPr>
                <w:color w:val="000000"/>
              </w:rPr>
              <w:t xml:space="preserve">., San Luis Potosí, SLP., Culiacán, Los Mochis, Mazatlán y </w:t>
            </w:r>
            <w:proofErr w:type="spellStart"/>
            <w:r w:rsidRPr="00742F28">
              <w:rPr>
                <w:color w:val="000000"/>
              </w:rPr>
              <w:t>Guasave</w:t>
            </w:r>
            <w:proofErr w:type="spellEnd"/>
            <w:r w:rsidRPr="00742F28">
              <w:rPr>
                <w:color w:val="000000"/>
              </w:rPr>
              <w:t>, Sin., Hermosillo, Cd. Obregón</w:t>
            </w:r>
            <w:r w:rsidRPr="00742F28">
              <w:rPr>
                <w:color w:val="FF0000"/>
              </w:rPr>
              <w:t xml:space="preserve"> </w:t>
            </w:r>
            <w:r w:rsidRPr="00742F28">
              <w:rPr>
                <w:color w:val="000000"/>
              </w:rPr>
              <w:t xml:space="preserve">y </w:t>
            </w:r>
            <w:proofErr w:type="spellStart"/>
            <w:r w:rsidRPr="00742F28">
              <w:rPr>
                <w:color w:val="000000"/>
              </w:rPr>
              <w:t>Navojoa</w:t>
            </w:r>
            <w:proofErr w:type="spellEnd"/>
            <w:r w:rsidRPr="00742F28">
              <w:rPr>
                <w:color w:val="000000"/>
              </w:rPr>
              <w:t xml:space="preserve">, Son., Tampico y Reynosa, </w:t>
            </w:r>
            <w:proofErr w:type="spellStart"/>
            <w:r w:rsidRPr="00742F28">
              <w:rPr>
                <w:color w:val="000000"/>
              </w:rPr>
              <w:t>Tam</w:t>
            </w:r>
            <w:proofErr w:type="spellEnd"/>
            <w:r w:rsidRPr="00742F28">
              <w:rPr>
                <w:color w:val="000000"/>
              </w:rPr>
              <w:t xml:space="preserve">., Boca del Río, Jalapa y Tuxpan, Ver., Zacatecas, </w:t>
            </w:r>
            <w:proofErr w:type="spellStart"/>
            <w:r w:rsidRPr="00742F28">
              <w:rPr>
                <w:color w:val="000000"/>
              </w:rPr>
              <w:t>Zac.</w:t>
            </w:r>
            <w:proofErr w:type="spellEnd"/>
            <w:r w:rsidRPr="00742F28">
              <w:rPr>
                <w:color w:val="000000"/>
              </w:rPr>
              <w:t xml:space="preserve">, Mérida, </w:t>
            </w:r>
            <w:proofErr w:type="spellStart"/>
            <w:r w:rsidRPr="00742F28">
              <w:rPr>
                <w:color w:val="000000"/>
              </w:rPr>
              <w:t>Yuc</w:t>
            </w:r>
            <w:proofErr w:type="spellEnd"/>
            <w:r w:rsidRPr="00742F28">
              <w:rPr>
                <w:color w:val="000000"/>
              </w:rPr>
              <w:t>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spacing w:line="228" w:lineRule="exact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 xml:space="preserve">Banco </w:t>
            </w:r>
            <w:proofErr w:type="spellStart"/>
            <w:r w:rsidRPr="00742F28">
              <w:rPr>
                <w:b/>
              </w:rPr>
              <w:t>Inbursa</w:t>
            </w:r>
            <w:proofErr w:type="spellEnd"/>
            <w:r w:rsidRPr="00742F28">
              <w:rPr>
                <w:b/>
              </w:rPr>
              <w:t>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spacing w:line="228" w:lineRule="exact"/>
              <w:ind w:firstLine="0"/>
              <w:rPr>
                <w:color w:val="000000"/>
              </w:rPr>
            </w:pPr>
            <w:r w:rsidRPr="00742F28">
              <w:rPr>
                <w:color w:val="000000"/>
              </w:rPr>
              <w:t xml:space="preserve">Distrito Federal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Metropolitana, Puebla, </w:t>
            </w:r>
            <w:proofErr w:type="spellStart"/>
            <w:r w:rsidRPr="00742F28">
              <w:rPr>
                <w:color w:val="000000"/>
              </w:rPr>
              <w:t>Pue</w:t>
            </w:r>
            <w:proofErr w:type="spellEnd"/>
            <w:r w:rsidRPr="00742F28">
              <w:rPr>
                <w:color w:val="000000"/>
              </w:rPr>
              <w:t xml:space="preserve">., Guadalajara y </w:t>
            </w:r>
            <w:proofErr w:type="spellStart"/>
            <w:r w:rsidRPr="00742F28">
              <w:rPr>
                <w:color w:val="000000"/>
              </w:rPr>
              <w:t>Tepatitlán</w:t>
            </w:r>
            <w:proofErr w:type="spellEnd"/>
            <w:r w:rsidRPr="00742F28">
              <w:rPr>
                <w:color w:val="000000"/>
              </w:rPr>
              <w:t xml:space="preserve">, Jal., Tuxtla Gutiérrez, Chis., Monterrey, N.L.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Metropolitana, Campeche, Camp., Saltillo, Monclova y Torreón, </w:t>
            </w:r>
            <w:proofErr w:type="spellStart"/>
            <w:r w:rsidRPr="00742F28">
              <w:rPr>
                <w:color w:val="000000"/>
              </w:rPr>
              <w:t>Coah</w:t>
            </w:r>
            <w:proofErr w:type="spellEnd"/>
            <w:r w:rsidRPr="00742F28">
              <w:rPr>
                <w:color w:val="000000"/>
              </w:rPr>
              <w:t xml:space="preserve">., Culiacán, Los Mochis y Mazatlán, Sin., Córdoba, Coatzacoalcos, Poza Rica, Jalapa y Veracruz, Ver., Pachuca, </w:t>
            </w:r>
            <w:proofErr w:type="spellStart"/>
            <w:r w:rsidRPr="00742F28">
              <w:rPr>
                <w:color w:val="000000"/>
              </w:rPr>
              <w:t>Hgo</w:t>
            </w:r>
            <w:proofErr w:type="spellEnd"/>
            <w:r w:rsidRPr="00742F28">
              <w:rPr>
                <w:color w:val="000000"/>
              </w:rPr>
              <w:t xml:space="preserve">., Cuernavaca, Mor., Iguala, Gro., Irapuato, Celaya y León, </w:t>
            </w:r>
            <w:proofErr w:type="spellStart"/>
            <w:r w:rsidRPr="00742F28">
              <w:rPr>
                <w:color w:val="000000"/>
              </w:rPr>
              <w:t>Gto</w:t>
            </w:r>
            <w:proofErr w:type="spellEnd"/>
            <w:r w:rsidRPr="00742F28">
              <w:rPr>
                <w:color w:val="000000"/>
              </w:rPr>
              <w:t xml:space="preserve">., Morelia, </w:t>
            </w:r>
            <w:proofErr w:type="spellStart"/>
            <w:r w:rsidRPr="00742F28">
              <w:rPr>
                <w:color w:val="000000"/>
              </w:rPr>
              <w:t>Mich</w:t>
            </w:r>
            <w:proofErr w:type="spellEnd"/>
            <w:r w:rsidRPr="00742F28">
              <w:rPr>
                <w:color w:val="000000"/>
              </w:rPr>
              <w:t xml:space="preserve">., Querétaro y Corregidora </w:t>
            </w:r>
            <w:proofErr w:type="spellStart"/>
            <w:r w:rsidRPr="00742F28">
              <w:rPr>
                <w:color w:val="000000"/>
              </w:rPr>
              <w:t>Qro</w:t>
            </w:r>
            <w:proofErr w:type="spellEnd"/>
            <w:r w:rsidRPr="00742F28">
              <w:rPr>
                <w:color w:val="000000"/>
              </w:rPr>
              <w:t xml:space="preserve">., Chihuahua, Cd. Juárez y Cd. Delicias, </w:t>
            </w:r>
            <w:proofErr w:type="spellStart"/>
            <w:r w:rsidRPr="00742F28">
              <w:rPr>
                <w:color w:val="000000"/>
              </w:rPr>
              <w:t>Chih</w:t>
            </w:r>
            <w:proofErr w:type="spellEnd"/>
            <w:r w:rsidRPr="00742F28">
              <w:rPr>
                <w:color w:val="000000"/>
              </w:rPr>
              <w:t xml:space="preserve">., Mérida, </w:t>
            </w:r>
            <w:proofErr w:type="spellStart"/>
            <w:r w:rsidRPr="00742F28">
              <w:rPr>
                <w:color w:val="000000"/>
              </w:rPr>
              <w:t>Yuc</w:t>
            </w:r>
            <w:proofErr w:type="spellEnd"/>
            <w:r w:rsidRPr="00742F28">
              <w:rPr>
                <w:color w:val="000000"/>
              </w:rPr>
              <w:t xml:space="preserve">., Aguascalientes, </w:t>
            </w:r>
            <w:proofErr w:type="spellStart"/>
            <w:r w:rsidRPr="00742F28">
              <w:rPr>
                <w:color w:val="000000"/>
              </w:rPr>
              <w:t>Ags</w:t>
            </w:r>
            <w:proofErr w:type="spellEnd"/>
            <w:r w:rsidRPr="00742F28">
              <w:rPr>
                <w:color w:val="000000"/>
              </w:rPr>
              <w:t xml:space="preserve">., Toluca, Edo. de </w:t>
            </w:r>
            <w:proofErr w:type="spellStart"/>
            <w:r w:rsidRPr="00742F28">
              <w:rPr>
                <w:color w:val="000000"/>
              </w:rPr>
              <w:t>Méx</w:t>
            </w:r>
            <w:proofErr w:type="spellEnd"/>
            <w:r w:rsidRPr="00742F28">
              <w:rPr>
                <w:color w:val="000000"/>
              </w:rPr>
              <w:t xml:space="preserve">., Colima, Col., Tijuana, BCN., Matamoros y Tampico, </w:t>
            </w:r>
            <w:proofErr w:type="spellStart"/>
            <w:r w:rsidRPr="00742F28">
              <w:rPr>
                <w:color w:val="000000"/>
              </w:rPr>
              <w:t>Tam</w:t>
            </w:r>
            <w:proofErr w:type="spellEnd"/>
            <w:r w:rsidRPr="00742F28">
              <w:rPr>
                <w:color w:val="000000"/>
              </w:rPr>
              <w:t xml:space="preserve">., Durango, </w:t>
            </w:r>
            <w:proofErr w:type="spellStart"/>
            <w:r w:rsidRPr="00742F28">
              <w:rPr>
                <w:color w:val="000000"/>
              </w:rPr>
              <w:t>Dgo</w:t>
            </w:r>
            <w:proofErr w:type="spellEnd"/>
            <w:r w:rsidRPr="00742F28">
              <w:rPr>
                <w:color w:val="000000"/>
              </w:rPr>
              <w:t xml:space="preserve">., </w:t>
            </w:r>
            <w:proofErr w:type="spellStart"/>
            <w:r w:rsidRPr="00742F28">
              <w:rPr>
                <w:color w:val="000000"/>
              </w:rPr>
              <w:t>Xoxocotlán</w:t>
            </w:r>
            <w:proofErr w:type="spellEnd"/>
            <w:r w:rsidRPr="00742F28">
              <w:rPr>
                <w:color w:val="000000"/>
              </w:rPr>
              <w:t xml:space="preserve">, </w:t>
            </w:r>
            <w:proofErr w:type="spellStart"/>
            <w:r w:rsidRPr="00742F28">
              <w:rPr>
                <w:color w:val="000000"/>
              </w:rPr>
              <w:t>Oax</w:t>
            </w:r>
            <w:proofErr w:type="spellEnd"/>
            <w:r w:rsidRPr="00742F28">
              <w:rPr>
                <w:color w:val="000000"/>
              </w:rPr>
              <w:t xml:space="preserve">., Cancún, Playa del Carmen y Chetumal, Q. Roo., </w:t>
            </w:r>
            <w:r w:rsidRPr="00742F28">
              <w:rPr>
                <w:color w:val="000000"/>
              </w:rPr>
              <w:lastRenderedPageBreak/>
              <w:t xml:space="preserve">San Luis Potosí, SLP., Cd. Obregón y Hermosillo, Son., Villahermosa, </w:t>
            </w:r>
            <w:proofErr w:type="spellStart"/>
            <w:r w:rsidRPr="00742F28">
              <w:rPr>
                <w:color w:val="000000"/>
              </w:rPr>
              <w:t>Tab</w:t>
            </w:r>
            <w:proofErr w:type="spellEnd"/>
            <w:r w:rsidRPr="00742F28">
              <w:rPr>
                <w:color w:val="000000"/>
              </w:rPr>
              <w:t xml:space="preserve">., Zacatecas, </w:t>
            </w:r>
            <w:proofErr w:type="spellStart"/>
            <w:r w:rsidRPr="00742F28">
              <w:rPr>
                <w:color w:val="000000"/>
              </w:rPr>
              <w:t>Zac.</w:t>
            </w:r>
            <w:proofErr w:type="spellEnd"/>
          </w:p>
        </w:tc>
      </w:tr>
      <w:tr w:rsidR="006E4FBB" w:rsidRPr="00742F28" w:rsidTr="00986567">
        <w:trPr>
          <w:trHeight w:val="348"/>
        </w:trPr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lastRenderedPageBreak/>
              <w:t>Banco Interacciones,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rPr>
                <w:color w:val="000000"/>
              </w:rPr>
            </w:pPr>
            <w:r w:rsidRPr="00742F28">
              <w:t xml:space="preserve">Distrito Federal y </w:t>
            </w:r>
            <w:proofErr w:type="spellStart"/>
            <w:r>
              <w:t>A</w:t>
            </w:r>
            <w:r w:rsidRPr="00742F28">
              <w:t>rea</w:t>
            </w:r>
            <w:proofErr w:type="spellEnd"/>
            <w:r w:rsidRPr="00742F28">
              <w:t xml:space="preserve"> Metropolitana, Toluca, Edo. </w:t>
            </w:r>
            <w:proofErr w:type="gramStart"/>
            <w:r w:rsidRPr="00742F28">
              <w:t>de</w:t>
            </w:r>
            <w:proofErr w:type="gramEnd"/>
            <w:r w:rsidRPr="00742F28">
              <w:t xml:space="preserve"> </w:t>
            </w:r>
            <w:proofErr w:type="spellStart"/>
            <w:r w:rsidRPr="00742F28">
              <w:t>Méx</w:t>
            </w:r>
            <w:proofErr w:type="spellEnd"/>
            <w:r w:rsidRPr="00742F28">
              <w:t>., Guadalajara</w:t>
            </w:r>
            <w:r w:rsidRPr="00742F28">
              <w:rPr>
                <w:color w:val="000000"/>
              </w:rPr>
              <w:t>, Jal.</w:t>
            </w:r>
          </w:p>
        </w:tc>
      </w:tr>
      <w:tr w:rsidR="006E4FBB" w:rsidRPr="00742F28" w:rsidTr="00986567">
        <w:trPr>
          <w:trHeight w:val="553"/>
        </w:trPr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 xml:space="preserve">Banco </w:t>
            </w:r>
            <w:proofErr w:type="spellStart"/>
            <w:r w:rsidRPr="00742F28">
              <w:rPr>
                <w:b/>
              </w:rPr>
              <w:t>Multiva</w:t>
            </w:r>
            <w:proofErr w:type="spellEnd"/>
            <w:r w:rsidRPr="00742F28">
              <w:rPr>
                <w:b/>
              </w:rPr>
              <w:t>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rPr>
                <w:color w:val="000000"/>
              </w:rPr>
            </w:pPr>
            <w:r w:rsidRPr="00742F28">
              <w:rPr>
                <w:color w:val="000000"/>
              </w:rPr>
              <w:t xml:space="preserve">Distrito Federal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Metropolitana, Monterrey, N.L., Puebla, </w:t>
            </w:r>
            <w:proofErr w:type="spellStart"/>
            <w:r w:rsidRPr="00742F28">
              <w:rPr>
                <w:color w:val="000000"/>
              </w:rPr>
              <w:t>Pue</w:t>
            </w:r>
            <w:proofErr w:type="spellEnd"/>
            <w:r w:rsidRPr="00742F28">
              <w:rPr>
                <w:color w:val="000000"/>
              </w:rPr>
              <w:t xml:space="preserve">., Guadalajara y Zapopan, Jal., León, </w:t>
            </w:r>
            <w:proofErr w:type="spellStart"/>
            <w:r w:rsidRPr="00742F28">
              <w:rPr>
                <w:color w:val="000000"/>
              </w:rPr>
              <w:t>Gto</w:t>
            </w:r>
            <w:proofErr w:type="spellEnd"/>
            <w:r w:rsidRPr="00742F28">
              <w:rPr>
                <w:color w:val="000000"/>
              </w:rPr>
              <w:t xml:space="preserve">., Aguascalientes, </w:t>
            </w:r>
            <w:proofErr w:type="spellStart"/>
            <w:r w:rsidRPr="00742F28">
              <w:rPr>
                <w:color w:val="000000"/>
              </w:rPr>
              <w:t>Ags</w:t>
            </w:r>
            <w:proofErr w:type="spellEnd"/>
            <w:r w:rsidRPr="00742F28">
              <w:rPr>
                <w:color w:val="000000"/>
              </w:rPr>
              <w:t xml:space="preserve">., Mérida, </w:t>
            </w:r>
            <w:proofErr w:type="spellStart"/>
            <w:r w:rsidRPr="00742F28">
              <w:rPr>
                <w:color w:val="000000"/>
              </w:rPr>
              <w:t>Yuc</w:t>
            </w:r>
            <w:proofErr w:type="spellEnd"/>
            <w:r w:rsidRPr="00742F28">
              <w:rPr>
                <w:color w:val="000000"/>
              </w:rPr>
              <w:t>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proofErr w:type="spellStart"/>
            <w:r w:rsidRPr="00742F28">
              <w:rPr>
                <w:b/>
              </w:rPr>
              <w:t>Ixe</w:t>
            </w:r>
            <w:proofErr w:type="spellEnd"/>
            <w:r w:rsidRPr="00742F28">
              <w:rPr>
                <w:b/>
              </w:rPr>
              <w:t xml:space="preserve"> Banco,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rPr>
                <w:color w:val="000000"/>
              </w:rPr>
            </w:pPr>
            <w:r w:rsidRPr="00742F28">
              <w:rPr>
                <w:color w:val="000000"/>
              </w:rPr>
              <w:t xml:space="preserve">Distrito Federal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Metropolitana, León, </w:t>
            </w:r>
            <w:proofErr w:type="spellStart"/>
            <w:r w:rsidRPr="00742F28">
              <w:rPr>
                <w:color w:val="000000"/>
              </w:rPr>
              <w:t>Gto</w:t>
            </w:r>
            <w:proofErr w:type="spellEnd"/>
            <w:r w:rsidRPr="00742F28">
              <w:rPr>
                <w:color w:val="000000"/>
              </w:rPr>
              <w:t xml:space="preserve">., Monterrey, N.L.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Metropolitana, Cuernavaca, Mor., Querétaro, </w:t>
            </w:r>
            <w:proofErr w:type="spellStart"/>
            <w:r w:rsidRPr="00742F28">
              <w:rPr>
                <w:color w:val="000000"/>
              </w:rPr>
              <w:t>Qro</w:t>
            </w:r>
            <w:proofErr w:type="spellEnd"/>
            <w:r w:rsidRPr="00742F28">
              <w:rPr>
                <w:color w:val="000000"/>
              </w:rPr>
              <w:t xml:space="preserve">., Guadalajara y Zapopan, Jal., San Andrés </w:t>
            </w:r>
            <w:proofErr w:type="spellStart"/>
            <w:r w:rsidRPr="00742F28">
              <w:rPr>
                <w:color w:val="000000"/>
              </w:rPr>
              <w:t>Cholula</w:t>
            </w:r>
            <w:proofErr w:type="spellEnd"/>
            <w:r w:rsidRPr="00742F28">
              <w:rPr>
                <w:color w:val="000000"/>
              </w:rPr>
              <w:t xml:space="preserve"> y Puebla, </w:t>
            </w:r>
            <w:proofErr w:type="spellStart"/>
            <w:r w:rsidRPr="00742F28">
              <w:rPr>
                <w:color w:val="000000"/>
              </w:rPr>
              <w:t>Pue</w:t>
            </w:r>
            <w:proofErr w:type="spellEnd"/>
            <w:r w:rsidRPr="00742F28">
              <w:rPr>
                <w:color w:val="000000"/>
              </w:rPr>
              <w:t xml:space="preserve">., Cd. Juárez, </w:t>
            </w:r>
            <w:proofErr w:type="spellStart"/>
            <w:r w:rsidRPr="00742F28">
              <w:rPr>
                <w:color w:val="000000"/>
              </w:rPr>
              <w:t>Chih</w:t>
            </w:r>
            <w:proofErr w:type="spellEnd"/>
            <w:r w:rsidRPr="00742F28">
              <w:rPr>
                <w:color w:val="000000"/>
              </w:rPr>
              <w:t xml:space="preserve">., Toluca, Edo. </w:t>
            </w:r>
            <w:proofErr w:type="gramStart"/>
            <w:r w:rsidRPr="00742F28">
              <w:rPr>
                <w:color w:val="000000"/>
              </w:rPr>
              <w:t>de</w:t>
            </w:r>
            <w:proofErr w:type="gramEnd"/>
            <w:r w:rsidRPr="00742F28">
              <w:rPr>
                <w:color w:val="000000"/>
              </w:rPr>
              <w:t xml:space="preserve"> </w:t>
            </w:r>
            <w:proofErr w:type="spellStart"/>
            <w:r w:rsidRPr="00742F28">
              <w:rPr>
                <w:color w:val="000000"/>
              </w:rPr>
              <w:t>Méx</w:t>
            </w:r>
            <w:proofErr w:type="spellEnd"/>
            <w:r w:rsidRPr="00742F28">
              <w:rPr>
                <w:color w:val="000000"/>
              </w:rPr>
              <w:t>.</w:t>
            </w:r>
          </w:p>
        </w:tc>
      </w:tr>
      <w:tr w:rsidR="006E4FBB" w:rsidRPr="00742F28" w:rsidTr="00986567">
        <w:trPr>
          <w:trHeight w:val="1319"/>
        </w:trPr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>Banca Afirme,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rPr>
                <w:color w:val="000000"/>
              </w:rPr>
            </w:pPr>
            <w:r w:rsidRPr="00742F28">
              <w:rPr>
                <w:color w:val="000000"/>
              </w:rPr>
              <w:t xml:space="preserve">Monterrey, N.L.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Metropolitana., Distrito Federal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Metropolitana., Chihuahua y Cd. Juárez, </w:t>
            </w:r>
            <w:proofErr w:type="spellStart"/>
            <w:r w:rsidRPr="00742F28">
              <w:rPr>
                <w:color w:val="000000"/>
              </w:rPr>
              <w:t>Chih</w:t>
            </w:r>
            <w:proofErr w:type="spellEnd"/>
            <w:r w:rsidRPr="00742F28">
              <w:rPr>
                <w:color w:val="000000"/>
              </w:rPr>
              <w:t xml:space="preserve">., Saltillo, Monclova y Torreón, </w:t>
            </w:r>
            <w:proofErr w:type="spellStart"/>
            <w:r w:rsidRPr="00742F28">
              <w:rPr>
                <w:color w:val="000000"/>
              </w:rPr>
              <w:t>Coah</w:t>
            </w:r>
            <w:proofErr w:type="spellEnd"/>
            <w:r w:rsidRPr="00742F28">
              <w:rPr>
                <w:color w:val="000000"/>
              </w:rPr>
              <w:t xml:space="preserve">., Toluca, Edo. </w:t>
            </w:r>
            <w:proofErr w:type="gramStart"/>
            <w:r w:rsidRPr="00742F28">
              <w:rPr>
                <w:color w:val="000000"/>
              </w:rPr>
              <w:t>de</w:t>
            </w:r>
            <w:proofErr w:type="gramEnd"/>
            <w:r w:rsidRPr="00742F28">
              <w:rPr>
                <w:color w:val="000000"/>
              </w:rPr>
              <w:t xml:space="preserve"> </w:t>
            </w:r>
            <w:proofErr w:type="spellStart"/>
            <w:r w:rsidRPr="00742F28">
              <w:rPr>
                <w:color w:val="000000"/>
              </w:rPr>
              <w:t>Méx</w:t>
            </w:r>
            <w:proofErr w:type="spellEnd"/>
            <w:r w:rsidRPr="00742F28">
              <w:rPr>
                <w:color w:val="000000"/>
              </w:rPr>
              <w:t xml:space="preserve">., Matamoros y Tampico </w:t>
            </w:r>
            <w:proofErr w:type="spellStart"/>
            <w:r w:rsidRPr="00742F28">
              <w:rPr>
                <w:color w:val="000000"/>
              </w:rPr>
              <w:t>Tam</w:t>
            </w:r>
            <w:proofErr w:type="spellEnd"/>
            <w:r w:rsidRPr="00742F28">
              <w:rPr>
                <w:color w:val="000000"/>
              </w:rPr>
              <w:t xml:space="preserve">., Acapulco y Chilpancingo, Gro., Cuernavaca, Mor., Puebla, </w:t>
            </w:r>
            <w:proofErr w:type="spellStart"/>
            <w:r w:rsidRPr="00742F28">
              <w:rPr>
                <w:color w:val="000000"/>
              </w:rPr>
              <w:t>Pue</w:t>
            </w:r>
            <w:proofErr w:type="spellEnd"/>
            <w:r w:rsidRPr="00742F28">
              <w:rPr>
                <w:color w:val="000000"/>
              </w:rPr>
              <w:t xml:space="preserve">., Guadalajara, Jal., Querétaro, </w:t>
            </w:r>
            <w:proofErr w:type="spellStart"/>
            <w:r w:rsidRPr="00742F28">
              <w:rPr>
                <w:color w:val="000000"/>
              </w:rPr>
              <w:t>Qro</w:t>
            </w:r>
            <w:proofErr w:type="spellEnd"/>
            <w:r w:rsidRPr="00742F28">
              <w:rPr>
                <w:color w:val="000000"/>
              </w:rPr>
              <w:t xml:space="preserve">., Salamanca, </w:t>
            </w:r>
            <w:proofErr w:type="spellStart"/>
            <w:r w:rsidRPr="00742F28">
              <w:rPr>
                <w:color w:val="000000"/>
              </w:rPr>
              <w:t>Gto</w:t>
            </w:r>
            <w:proofErr w:type="spellEnd"/>
            <w:r w:rsidRPr="00742F28">
              <w:rPr>
                <w:color w:val="000000"/>
              </w:rPr>
              <w:t xml:space="preserve">., Morelia y Lázaro Cárdenas, </w:t>
            </w:r>
            <w:proofErr w:type="spellStart"/>
            <w:r w:rsidRPr="00742F28">
              <w:rPr>
                <w:color w:val="000000"/>
              </w:rPr>
              <w:t>Mich</w:t>
            </w:r>
            <w:proofErr w:type="spellEnd"/>
            <w:r w:rsidRPr="00742F28">
              <w:rPr>
                <w:color w:val="000000"/>
              </w:rPr>
              <w:t>., Hermosillo, Son., Culiacán, Sin., Tijuana, BCN.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  <w:lang w:val="en-US"/>
              </w:rPr>
            </w:pPr>
            <w:r w:rsidRPr="00742F28">
              <w:rPr>
                <w:b/>
                <w:lang w:val="en-US"/>
              </w:rPr>
              <w:t>Bank of Tokyo-Mitsubishi UFJ (México),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</w:pPr>
            <w:r w:rsidRPr="00742F28">
              <w:t>Distrito Federal.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>Banco Regional de Monterrey, S.A. (</w:t>
            </w:r>
            <w:proofErr w:type="spellStart"/>
            <w:r w:rsidRPr="00742F28">
              <w:rPr>
                <w:b/>
              </w:rPr>
              <w:t>Banregio</w:t>
            </w:r>
            <w:proofErr w:type="spellEnd"/>
            <w:r w:rsidRPr="00742F28">
              <w:rPr>
                <w:b/>
              </w:rPr>
              <w:t>, S.A.)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rPr>
                <w:color w:val="000000"/>
              </w:rPr>
            </w:pPr>
            <w:r w:rsidRPr="00742F28">
              <w:rPr>
                <w:color w:val="000000"/>
              </w:rPr>
              <w:t xml:space="preserve">Aguascalientes, </w:t>
            </w:r>
            <w:proofErr w:type="spellStart"/>
            <w:r w:rsidRPr="00742F28">
              <w:rPr>
                <w:color w:val="000000"/>
              </w:rPr>
              <w:t>Ags</w:t>
            </w:r>
            <w:proofErr w:type="spellEnd"/>
            <w:r w:rsidRPr="00742F28">
              <w:rPr>
                <w:color w:val="000000"/>
              </w:rPr>
              <w:t xml:space="preserve">., Monterrey, N.L.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Metropolitana, Tijuana, Mexicali y Ensenada, BCN., Chihuahua y Cd. Juárez, </w:t>
            </w:r>
            <w:proofErr w:type="spellStart"/>
            <w:r w:rsidRPr="00742F28">
              <w:rPr>
                <w:color w:val="000000"/>
              </w:rPr>
              <w:t>Chih</w:t>
            </w:r>
            <w:proofErr w:type="spellEnd"/>
            <w:r w:rsidRPr="00742F28">
              <w:rPr>
                <w:color w:val="000000"/>
              </w:rPr>
              <w:t xml:space="preserve">., Saltillo, Torreón y Ramos </w:t>
            </w:r>
            <w:proofErr w:type="spellStart"/>
            <w:r w:rsidRPr="00742F28">
              <w:rPr>
                <w:color w:val="000000"/>
              </w:rPr>
              <w:t>Arizpe</w:t>
            </w:r>
            <w:proofErr w:type="spellEnd"/>
            <w:r w:rsidRPr="00742F28">
              <w:rPr>
                <w:color w:val="000000"/>
              </w:rPr>
              <w:t xml:space="preserve">, </w:t>
            </w:r>
            <w:proofErr w:type="spellStart"/>
            <w:r w:rsidRPr="00742F28">
              <w:rPr>
                <w:color w:val="000000"/>
              </w:rPr>
              <w:t>Coah</w:t>
            </w:r>
            <w:proofErr w:type="spellEnd"/>
            <w:r w:rsidRPr="00742F28">
              <w:rPr>
                <w:color w:val="000000"/>
              </w:rPr>
              <w:t xml:space="preserve">., Gómez Palacios, </w:t>
            </w:r>
            <w:proofErr w:type="spellStart"/>
            <w:r w:rsidRPr="00742F28">
              <w:rPr>
                <w:color w:val="000000"/>
              </w:rPr>
              <w:t>Dgo</w:t>
            </w:r>
            <w:proofErr w:type="spellEnd"/>
            <w:r w:rsidRPr="00742F28">
              <w:rPr>
                <w:color w:val="000000"/>
              </w:rPr>
              <w:t xml:space="preserve">., León, </w:t>
            </w:r>
            <w:proofErr w:type="spellStart"/>
            <w:r w:rsidRPr="00742F28">
              <w:rPr>
                <w:color w:val="000000"/>
              </w:rPr>
              <w:t>Gto</w:t>
            </w:r>
            <w:proofErr w:type="spellEnd"/>
            <w:r w:rsidRPr="00742F28">
              <w:rPr>
                <w:color w:val="000000"/>
              </w:rPr>
              <w:t xml:space="preserve">., Guadalajara y Zapopan, Jal., San Luis Potosí, SLP., Culiacán, Sin., Hermosillo, Son., Tampico, Reynosa, Matamoros y Cd. Victoria, </w:t>
            </w:r>
            <w:proofErr w:type="spellStart"/>
            <w:r w:rsidRPr="00742F28">
              <w:rPr>
                <w:color w:val="000000"/>
              </w:rPr>
              <w:t>Tam</w:t>
            </w:r>
            <w:proofErr w:type="spellEnd"/>
            <w:r w:rsidRPr="00742F28">
              <w:rPr>
                <w:color w:val="000000"/>
              </w:rPr>
              <w:t>.</w:t>
            </w:r>
          </w:p>
        </w:tc>
      </w:tr>
      <w:tr w:rsidR="006E4FBB" w:rsidRPr="00742F28" w:rsidTr="00986567"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  <w:lang w:val="en-US"/>
              </w:rPr>
            </w:pPr>
            <w:r w:rsidRPr="00742F28">
              <w:rPr>
                <w:b/>
                <w:lang w:val="en-US"/>
              </w:rPr>
              <w:t>The Royal  Bank of Scotland México,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rPr>
                <w:color w:val="000000"/>
              </w:rPr>
            </w:pPr>
            <w:r w:rsidRPr="00742F28">
              <w:rPr>
                <w:color w:val="000000"/>
              </w:rPr>
              <w:t>Distrito Federal.</w:t>
            </w:r>
          </w:p>
        </w:tc>
      </w:tr>
      <w:tr w:rsidR="006E4FBB" w:rsidRPr="00742F28" w:rsidTr="00986567">
        <w:trPr>
          <w:trHeight w:val="491"/>
        </w:trPr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r w:rsidRPr="00742F28">
              <w:rPr>
                <w:b/>
              </w:rPr>
              <w:t xml:space="preserve">Banca </w:t>
            </w:r>
            <w:proofErr w:type="spellStart"/>
            <w:r w:rsidRPr="00742F28">
              <w:rPr>
                <w:b/>
              </w:rPr>
              <w:t>Mifel</w:t>
            </w:r>
            <w:proofErr w:type="spellEnd"/>
            <w:r w:rsidRPr="00742F28">
              <w:rPr>
                <w:b/>
              </w:rPr>
              <w:t>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rPr>
                <w:color w:val="000000"/>
              </w:rPr>
            </w:pPr>
            <w:r w:rsidRPr="00742F28">
              <w:rPr>
                <w:color w:val="000000"/>
              </w:rPr>
              <w:t xml:space="preserve">Distrito Federal y </w:t>
            </w:r>
            <w:proofErr w:type="spellStart"/>
            <w:r>
              <w:rPr>
                <w:color w:val="000000"/>
              </w:rPr>
              <w:t>A</w:t>
            </w:r>
            <w:r w:rsidRPr="00742F28">
              <w:rPr>
                <w:color w:val="000000"/>
              </w:rPr>
              <w:t>rea</w:t>
            </w:r>
            <w:proofErr w:type="spellEnd"/>
            <w:r w:rsidRPr="00742F28">
              <w:rPr>
                <w:color w:val="000000"/>
              </w:rPr>
              <w:t xml:space="preserve"> Metropolitana, Monterrey, San Pedro Garza García y Apodaca, N.L., Cuernavaca, Mor.</w:t>
            </w:r>
          </w:p>
        </w:tc>
      </w:tr>
      <w:tr w:rsidR="006E4FBB" w:rsidRPr="00742F28" w:rsidTr="00986567">
        <w:trPr>
          <w:trHeight w:val="493"/>
        </w:trPr>
        <w:tc>
          <w:tcPr>
            <w:tcW w:w="3332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jc w:val="left"/>
              <w:rPr>
                <w:b/>
              </w:rPr>
            </w:pPr>
            <w:proofErr w:type="spellStart"/>
            <w:r w:rsidRPr="00742F28">
              <w:rPr>
                <w:b/>
              </w:rPr>
              <w:t>Bansi</w:t>
            </w:r>
            <w:proofErr w:type="spellEnd"/>
            <w:r w:rsidRPr="00742F28">
              <w:rPr>
                <w:b/>
              </w:rPr>
              <w:t>, S.A.</w:t>
            </w:r>
          </w:p>
        </w:tc>
        <w:tc>
          <w:tcPr>
            <w:tcW w:w="6591" w:type="dxa"/>
            <w:vAlign w:val="center"/>
          </w:tcPr>
          <w:p w:rsidR="006E4FBB" w:rsidRPr="00742F28" w:rsidRDefault="006E4FBB" w:rsidP="00986567">
            <w:pPr>
              <w:pStyle w:val="Texto"/>
              <w:ind w:firstLine="0"/>
              <w:rPr>
                <w:color w:val="000000"/>
              </w:rPr>
            </w:pPr>
            <w:r w:rsidRPr="00742F28">
              <w:rPr>
                <w:color w:val="000000"/>
              </w:rPr>
              <w:t xml:space="preserve">Distrito Federal., Guadalajara y Zapopan, Jal., Cancún, Q. Roo., San Luis Potosí, SLP., Mérida., </w:t>
            </w:r>
            <w:proofErr w:type="spellStart"/>
            <w:r w:rsidRPr="00742F28">
              <w:rPr>
                <w:color w:val="000000"/>
              </w:rPr>
              <w:t>Yuc</w:t>
            </w:r>
            <w:proofErr w:type="spellEnd"/>
            <w:r w:rsidRPr="00742F28">
              <w:rPr>
                <w:color w:val="000000"/>
              </w:rPr>
              <w:t>.</w:t>
            </w:r>
          </w:p>
        </w:tc>
      </w:tr>
    </w:tbl>
    <w:p w:rsidR="006E4FBB" w:rsidRPr="00742F28" w:rsidRDefault="006E4FBB" w:rsidP="006E4FBB">
      <w:pPr>
        <w:pStyle w:val="Texto"/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8712"/>
      </w:tblGrid>
      <w:tr w:rsidR="006E4FBB" w:rsidRPr="00742F28" w:rsidTr="00986567">
        <w:tc>
          <w:tcPr>
            <w:tcW w:w="9923" w:type="dxa"/>
            <w:tcBorders>
              <w:left w:val="nil"/>
              <w:right w:val="nil"/>
            </w:tcBorders>
            <w:noWrap/>
          </w:tcPr>
          <w:p w:rsidR="006E4FBB" w:rsidRPr="00742F28" w:rsidRDefault="006E4FBB" w:rsidP="00986567">
            <w:pPr>
              <w:pStyle w:val="Texto"/>
              <w:tabs>
                <w:tab w:val="left" w:pos="396"/>
              </w:tabs>
              <w:ind w:left="396" w:hanging="396"/>
            </w:pPr>
            <w:r w:rsidRPr="00742F28">
              <w:rPr>
                <w:b/>
              </w:rPr>
              <w:t xml:space="preserve">B. </w:t>
            </w:r>
            <w:r w:rsidRPr="00742F28">
              <w:rPr>
                <w:b/>
              </w:rPr>
              <w:tab/>
              <w:t>Instituciones de crédito autorizadas para la recepción de declaraciones por Internet y ventanilla bancaria a que se refieren los Capítulos 2.14., y 2.15., vigentes hasta el 1 de octubre de 2006, Sección II.2.8.5., y la regla II.7.2.1.</w:t>
            </w:r>
            <w:r w:rsidRPr="00742F28">
              <w:rPr>
                <w:b/>
                <w:color w:val="FF0000"/>
              </w:rPr>
              <w:t xml:space="preserve"> </w:t>
            </w:r>
            <w:proofErr w:type="gramStart"/>
            <w:r w:rsidRPr="00742F28">
              <w:rPr>
                <w:b/>
              </w:rPr>
              <w:t>de</w:t>
            </w:r>
            <w:proofErr w:type="gramEnd"/>
            <w:r w:rsidRPr="00742F28">
              <w:rPr>
                <w:b/>
              </w:rPr>
              <w:t xml:space="preserve"> esta Resolución.</w:t>
            </w:r>
          </w:p>
        </w:tc>
      </w:tr>
    </w:tbl>
    <w:p w:rsidR="006E4FBB" w:rsidRPr="00742F28" w:rsidRDefault="006E4FBB" w:rsidP="006E4FBB">
      <w:pPr>
        <w:pStyle w:val="Texto"/>
        <w:ind w:left="142" w:firstLine="289"/>
      </w:pPr>
      <w:r w:rsidRPr="00742F28">
        <w:t>Las denominaciones de las instituciones de crédito autorizadas para la recepción de declaraciones por Internet y ventanilla bancaria a que se refieren los Capítulos 2.14., y 2.15.,</w:t>
      </w:r>
      <w:r w:rsidRPr="00742F28">
        <w:rPr>
          <w:b/>
        </w:rPr>
        <w:t xml:space="preserve"> </w:t>
      </w:r>
      <w:r w:rsidRPr="00742F28">
        <w:t xml:space="preserve">vigentes hasta el 1 de octubre de 2006, Sección II.2.8.5., y la regla II.7.2.1., son las publicadas en la página de Internet del SAT </w:t>
      </w:r>
      <w:hyperlink r:id="rId5" w:history="1">
        <w:r w:rsidRPr="00742F28">
          <w:t>www.sat.gob.mx</w:t>
        </w:r>
      </w:hyperlink>
      <w:r w:rsidRPr="00742F28">
        <w:t>.</w:t>
      </w:r>
    </w:p>
    <w:p w:rsidR="006E4FBB" w:rsidRPr="00742F28" w:rsidRDefault="006E4FBB" w:rsidP="006E4FBB">
      <w:pPr>
        <w:pStyle w:val="Texto"/>
      </w:pPr>
    </w:p>
    <w:tbl>
      <w:tblPr>
        <w:tblW w:w="8712" w:type="dxa"/>
        <w:tblInd w:w="14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8712"/>
      </w:tblGrid>
      <w:tr w:rsidR="006E4FBB" w:rsidRPr="00742F28" w:rsidTr="00986567">
        <w:tc>
          <w:tcPr>
            <w:tcW w:w="9923" w:type="dxa"/>
            <w:noWrap/>
          </w:tcPr>
          <w:p w:rsidR="006E4FBB" w:rsidRPr="00742F28" w:rsidRDefault="006E4FBB" w:rsidP="00986567">
            <w:pPr>
              <w:pStyle w:val="Texto"/>
              <w:tabs>
                <w:tab w:val="left" w:pos="396"/>
              </w:tabs>
              <w:ind w:left="396" w:hanging="396"/>
              <w:rPr>
                <w:b/>
              </w:rPr>
            </w:pPr>
            <w:r w:rsidRPr="00742F28">
              <w:rPr>
                <w:b/>
              </w:rPr>
              <w:t xml:space="preserve">C. </w:t>
            </w:r>
            <w:r w:rsidRPr="00742F28">
              <w:rPr>
                <w:b/>
              </w:rPr>
              <w:tab/>
              <w:t>Instituciones de crédito autorizadas para la recepción de declaraciones por Internet y ventanilla bancaria a que se refieren los Capítulos I.2.11., II.2.13.,</w:t>
            </w:r>
            <w:r w:rsidRPr="00742F28">
              <w:rPr>
                <w:b/>
                <w:color w:val="FF0000"/>
              </w:rPr>
              <w:t xml:space="preserve"> </w:t>
            </w:r>
            <w:r w:rsidRPr="00742F28">
              <w:rPr>
                <w:b/>
                <w:color w:val="000000"/>
              </w:rPr>
              <w:t>I.2.14.,</w:t>
            </w:r>
            <w:r w:rsidRPr="00742F28">
              <w:rPr>
                <w:b/>
                <w:color w:val="FF0000"/>
              </w:rPr>
              <w:t xml:space="preserve"> </w:t>
            </w:r>
            <w:r w:rsidRPr="00742F28">
              <w:rPr>
                <w:b/>
              </w:rPr>
              <w:t xml:space="preserve">y II.2.14. </w:t>
            </w:r>
            <w:proofErr w:type="gramStart"/>
            <w:r w:rsidRPr="00742F28">
              <w:rPr>
                <w:b/>
              </w:rPr>
              <w:t>de</w:t>
            </w:r>
            <w:proofErr w:type="gramEnd"/>
            <w:r w:rsidRPr="00742F28">
              <w:rPr>
                <w:b/>
              </w:rPr>
              <w:t xml:space="preserve"> esta Resolución.</w:t>
            </w:r>
          </w:p>
        </w:tc>
      </w:tr>
    </w:tbl>
    <w:p w:rsidR="006E4FBB" w:rsidRPr="00742F28" w:rsidRDefault="006E4FBB" w:rsidP="006E4FBB">
      <w:pPr>
        <w:pStyle w:val="Texto"/>
        <w:ind w:left="142" w:firstLine="289"/>
      </w:pPr>
      <w:r w:rsidRPr="00742F28">
        <w:t>Las denominaciones de las instituciones de crédito autorizadas para la recepción de declaraciones por Internet y ventanilla bancaria a que se refieren los Capítulos I.2.11.,</w:t>
      </w:r>
      <w:r w:rsidRPr="00742F28">
        <w:rPr>
          <w:color w:val="FF0000"/>
        </w:rPr>
        <w:t xml:space="preserve"> </w:t>
      </w:r>
      <w:r w:rsidRPr="00742F28">
        <w:rPr>
          <w:color w:val="000000"/>
        </w:rPr>
        <w:t xml:space="preserve">II.2.13., I.2.14., y II.2.14. </w:t>
      </w:r>
      <w:proofErr w:type="gramStart"/>
      <w:r w:rsidRPr="00742F28">
        <w:rPr>
          <w:color w:val="000000"/>
        </w:rPr>
        <w:t>de</w:t>
      </w:r>
      <w:proofErr w:type="gramEnd"/>
      <w:r w:rsidRPr="00742F28">
        <w:rPr>
          <w:color w:val="000000"/>
        </w:rPr>
        <w:t xml:space="preserve"> esta</w:t>
      </w:r>
      <w:r w:rsidRPr="00742F28">
        <w:t xml:space="preserve"> Resolución, son las publicadas en la página de Internet del SAT </w:t>
      </w:r>
      <w:hyperlink r:id="rId6" w:history="1">
        <w:r w:rsidRPr="00742F28">
          <w:t>www.sat.gob.mx</w:t>
        </w:r>
      </w:hyperlink>
      <w:r w:rsidRPr="00742F28">
        <w:t>.</w:t>
      </w:r>
    </w:p>
    <w:p w:rsidR="006E4FBB" w:rsidRPr="00742F28" w:rsidRDefault="006E4FBB" w:rsidP="006E4FBB">
      <w:pPr>
        <w:pStyle w:val="Texto"/>
      </w:pPr>
    </w:p>
    <w:tbl>
      <w:tblPr>
        <w:tblW w:w="8712" w:type="dxa"/>
        <w:tblInd w:w="144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00"/>
      </w:tblPr>
      <w:tblGrid>
        <w:gridCol w:w="8712"/>
      </w:tblGrid>
      <w:tr w:rsidR="006E4FBB" w:rsidRPr="00742F28" w:rsidTr="00986567">
        <w:tc>
          <w:tcPr>
            <w:tcW w:w="9923" w:type="dxa"/>
            <w:noWrap/>
          </w:tcPr>
          <w:p w:rsidR="006E4FBB" w:rsidRPr="00742F28" w:rsidRDefault="006E4FBB" w:rsidP="00986567">
            <w:pPr>
              <w:pStyle w:val="Texto"/>
              <w:tabs>
                <w:tab w:val="left" w:pos="396"/>
              </w:tabs>
              <w:ind w:left="396" w:hanging="396"/>
              <w:rPr>
                <w:b/>
              </w:rPr>
            </w:pPr>
            <w:r w:rsidRPr="00742F28">
              <w:rPr>
                <w:b/>
              </w:rPr>
              <w:t xml:space="preserve">D. </w:t>
            </w:r>
            <w:r w:rsidRPr="00742F28">
              <w:rPr>
                <w:b/>
              </w:rPr>
              <w:tab/>
              <w:t xml:space="preserve">Instituciones de crédito autorizadas para la recepción de pagos </w:t>
            </w:r>
            <w:r w:rsidRPr="00742F28">
              <w:rPr>
                <w:b/>
                <w:color w:val="000000"/>
              </w:rPr>
              <w:t xml:space="preserve">por depósito referenciado mediante línea de captura a que se refieren los Capítulos I.2.10., I.2.5., II.2.8.3. </w:t>
            </w:r>
            <w:proofErr w:type="gramStart"/>
            <w:r w:rsidRPr="00742F28">
              <w:rPr>
                <w:b/>
                <w:color w:val="000000"/>
              </w:rPr>
              <w:t>y</w:t>
            </w:r>
            <w:proofErr w:type="gramEnd"/>
            <w:r w:rsidRPr="00742F28">
              <w:rPr>
                <w:b/>
                <w:color w:val="000000"/>
              </w:rPr>
              <w:t xml:space="preserve"> II.2.8.4. </w:t>
            </w:r>
            <w:proofErr w:type="gramStart"/>
            <w:r w:rsidRPr="00742F28">
              <w:rPr>
                <w:b/>
                <w:color w:val="000000"/>
              </w:rPr>
              <w:t>de</w:t>
            </w:r>
            <w:proofErr w:type="gramEnd"/>
            <w:r w:rsidRPr="00742F28">
              <w:rPr>
                <w:b/>
              </w:rPr>
              <w:t xml:space="preserve"> esta Resolución.</w:t>
            </w:r>
          </w:p>
        </w:tc>
      </w:tr>
    </w:tbl>
    <w:p w:rsidR="006E4FBB" w:rsidRDefault="006E4FBB" w:rsidP="006E4FBB">
      <w:pPr>
        <w:pStyle w:val="Texto"/>
        <w:ind w:left="142" w:firstLine="289"/>
      </w:pPr>
      <w:r w:rsidRPr="00742F28">
        <w:lastRenderedPageBreak/>
        <w:t xml:space="preserve">Las denominaciones de las instituciones de crédito autorizadas para la recepción de pagos por depósito referenciado mediante línea de captura vía Internet y ventanilla bancaria a que se refieren los </w:t>
      </w:r>
      <w:r w:rsidRPr="00742F28">
        <w:rPr>
          <w:color w:val="000000"/>
        </w:rPr>
        <w:t xml:space="preserve">Capítulos I.2.10., I.2.5., II.2.8.3. </w:t>
      </w:r>
      <w:proofErr w:type="gramStart"/>
      <w:r w:rsidRPr="00742F28">
        <w:rPr>
          <w:color w:val="000000"/>
        </w:rPr>
        <w:t>y</w:t>
      </w:r>
      <w:proofErr w:type="gramEnd"/>
      <w:r w:rsidRPr="00742F28">
        <w:rPr>
          <w:color w:val="000000"/>
        </w:rPr>
        <w:t xml:space="preserve"> II.2.8.4.</w:t>
      </w:r>
      <w:r w:rsidRPr="00742F28">
        <w:t xml:space="preserve"> </w:t>
      </w:r>
      <w:proofErr w:type="gramStart"/>
      <w:r w:rsidRPr="00742F28">
        <w:t>son</w:t>
      </w:r>
      <w:proofErr w:type="gramEnd"/>
      <w:r w:rsidRPr="00742F28">
        <w:t xml:space="preserve"> las publicadas en la página de Internet del SAT </w:t>
      </w:r>
      <w:hyperlink r:id="rId7" w:history="1">
        <w:r w:rsidRPr="00742F28">
          <w:t>www.sat.gob.mx</w:t>
        </w:r>
      </w:hyperlink>
      <w:r w:rsidRPr="00742F28">
        <w:t>.</w:t>
      </w:r>
    </w:p>
    <w:p w:rsidR="006E4FBB" w:rsidRPr="00742F28" w:rsidRDefault="006E4FBB" w:rsidP="006E4FBB">
      <w:pPr>
        <w:pStyle w:val="Texto"/>
      </w:pPr>
      <w:r w:rsidRPr="00742F28">
        <w:t>Atentamente.</w:t>
      </w:r>
    </w:p>
    <w:p w:rsidR="006E4FBB" w:rsidRDefault="006E4FBB" w:rsidP="006E4FBB">
      <w:pPr>
        <w:pStyle w:val="Texto"/>
        <w:rPr>
          <w:color w:val="000000"/>
        </w:rPr>
      </w:pPr>
      <w:r w:rsidRPr="00742F28">
        <w:t>México, D. F.</w:t>
      </w:r>
      <w:r>
        <w:t>,</w:t>
      </w:r>
      <w:r w:rsidRPr="00742F28">
        <w:t xml:space="preserve"> a 31 de mayo de 2011.</w:t>
      </w:r>
      <w:r>
        <w:t xml:space="preserve">- </w:t>
      </w:r>
      <w:r w:rsidRPr="00742F28">
        <w:t>El Jefe del Servic</w:t>
      </w:r>
      <w:r>
        <w:t xml:space="preserve">io de Administración Tributaria, </w:t>
      </w:r>
      <w:r w:rsidRPr="00BC1D5D">
        <w:rPr>
          <w:b/>
          <w:color w:val="000000"/>
        </w:rPr>
        <w:t xml:space="preserve">Alfredo Gutiérrez Ortiz </w:t>
      </w:r>
      <w:r>
        <w:rPr>
          <w:b/>
          <w:color w:val="000000"/>
        </w:rPr>
        <w:t>Mena</w:t>
      </w:r>
      <w:r>
        <w:rPr>
          <w:color w:val="000000"/>
        </w:rPr>
        <w:t>.- Rúbrica.</w:t>
      </w:r>
    </w:p>
    <w:p w:rsidR="0090377A" w:rsidRDefault="0090377A"/>
    <w:sectPr w:rsidR="0090377A" w:rsidSect="009037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05927"/>
    <w:multiLevelType w:val="hybridMultilevel"/>
    <w:tmpl w:val="DB8AD946"/>
    <w:lvl w:ilvl="0" w:tplc="566A8AD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6E4FBB"/>
    <w:rsid w:val="006E4FBB"/>
    <w:rsid w:val="00903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6E4FBB"/>
    <w:pPr>
      <w:spacing w:after="101" w:line="216" w:lineRule="exact"/>
      <w:ind w:firstLine="288"/>
      <w:jc w:val="both"/>
    </w:pPr>
    <w:rPr>
      <w:rFonts w:ascii="Arial" w:hAnsi="Arial"/>
      <w:sz w:val="18"/>
      <w:szCs w:val="18"/>
    </w:rPr>
  </w:style>
  <w:style w:type="character" w:customStyle="1" w:styleId="TextoCar">
    <w:name w:val="Texto Car"/>
    <w:basedOn w:val="Fuentedeprrafopredeter"/>
    <w:link w:val="Texto"/>
    <w:locked/>
    <w:rsid w:val="006E4FBB"/>
    <w:rPr>
      <w:rFonts w:ascii="Arial" w:eastAsia="Times New Roman" w:hAnsi="Arial" w:cs="Times New Roman"/>
      <w:sz w:val="18"/>
      <w:szCs w:val="18"/>
      <w:lang w:val="es-ES" w:eastAsia="es-MX"/>
    </w:rPr>
  </w:style>
  <w:style w:type="paragraph" w:customStyle="1" w:styleId="ROMANOS">
    <w:name w:val="ROMANOS"/>
    <w:basedOn w:val="Normal"/>
    <w:link w:val="ROMANOSCar"/>
    <w:rsid w:val="006E4FBB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basedOn w:val="Fuentedeprrafopredeter"/>
    <w:link w:val="ROMANOS"/>
    <w:rsid w:val="006E4FBB"/>
    <w:rPr>
      <w:rFonts w:ascii="Arial" w:eastAsia="Times New Roman" w:hAnsi="Arial" w:cs="Arial"/>
      <w:sz w:val="18"/>
      <w:szCs w:val="18"/>
      <w:lang w:val="es-ES" w:eastAsia="es-MX"/>
    </w:rPr>
  </w:style>
  <w:style w:type="paragraph" w:customStyle="1" w:styleId="ANOTACION">
    <w:name w:val="ANOTACION"/>
    <w:basedOn w:val="Normal"/>
    <w:rsid w:val="006E4FBB"/>
    <w:pPr>
      <w:spacing w:before="101" w:after="101"/>
      <w:jc w:val="center"/>
    </w:pPr>
    <w:rPr>
      <w:b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t.gob.m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t.gob.mx" TargetMode="External"/><Relationship Id="rId5" Type="http://schemas.openxmlformats.org/officeDocument/2006/relationships/hyperlink" Target="http://www.sat.gob.m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5363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</dc:creator>
  <cp:lastModifiedBy>PENNY</cp:lastModifiedBy>
  <cp:revision>1</cp:revision>
  <dcterms:created xsi:type="dcterms:W3CDTF">2011-07-05T18:15:00Z</dcterms:created>
  <dcterms:modified xsi:type="dcterms:W3CDTF">2011-07-05T18:16:00Z</dcterms:modified>
</cp:coreProperties>
</file>